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62C" w:rsidRPr="00C2761A" w:rsidRDefault="00CB162C" w:rsidP="00CB162C">
      <w:pPr>
        <w:autoSpaceDE w:val="0"/>
        <w:autoSpaceDN w:val="0"/>
        <w:adjustRightInd w:val="0"/>
        <w:jc w:val="center"/>
        <w:outlineLvl w:val="0"/>
        <w:rPr>
          <w:rFonts w:ascii="Arial" w:hAnsi="Arial" w:cs="Arial"/>
          <w:b/>
          <w:sz w:val="24"/>
          <w:szCs w:val="24"/>
        </w:rPr>
      </w:pPr>
      <w:r w:rsidRPr="00C2761A">
        <w:rPr>
          <w:rFonts w:ascii="Arial" w:hAnsi="Arial" w:cs="Arial"/>
          <w:b/>
          <w:sz w:val="24"/>
          <w:szCs w:val="24"/>
        </w:rPr>
        <w:t>Ground Range Sustainment Plan (GRSP)</w:t>
      </w:r>
    </w:p>
    <w:p w:rsidR="00CB162C" w:rsidRDefault="00CB162C" w:rsidP="00CB162C">
      <w:pPr>
        <w:autoSpaceDE w:val="0"/>
        <w:autoSpaceDN w:val="0"/>
        <w:adjustRightInd w:val="0"/>
        <w:outlineLvl w:val="0"/>
        <w:rPr>
          <w:rFonts w:ascii="Arial" w:hAnsi="Arial" w:cs="Arial"/>
          <w:sz w:val="24"/>
          <w:szCs w:val="24"/>
        </w:rPr>
      </w:pPr>
    </w:p>
    <w:p w:rsidR="00CB162C" w:rsidRPr="00CB162C" w:rsidRDefault="00CB162C" w:rsidP="00CB162C">
      <w:pPr>
        <w:autoSpaceDE w:val="0"/>
        <w:autoSpaceDN w:val="0"/>
        <w:adjustRightInd w:val="0"/>
        <w:outlineLvl w:val="0"/>
        <w:rPr>
          <w:rFonts w:ascii="Arial" w:hAnsi="Arial" w:cs="Arial"/>
          <w:color w:val="000000"/>
          <w:sz w:val="24"/>
          <w:szCs w:val="24"/>
        </w:rPr>
      </w:pPr>
      <w:proofErr w:type="gramStart"/>
      <w:r w:rsidRPr="00C2761A">
        <w:rPr>
          <w:rFonts w:ascii="Arial" w:hAnsi="Arial" w:cs="Arial"/>
          <w:b/>
          <w:sz w:val="24"/>
          <w:szCs w:val="24"/>
        </w:rPr>
        <w:t>General.</w:t>
      </w:r>
      <w:proofErr w:type="gramEnd"/>
      <w:r w:rsidRPr="00CB162C">
        <w:rPr>
          <w:rFonts w:ascii="Arial" w:hAnsi="Arial" w:cs="Arial"/>
          <w:sz w:val="24"/>
          <w:szCs w:val="24"/>
        </w:rPr>
        <w:t xml:space="preserve">  </w:t>
      </w:r>
      <w:r w:rsidRPr="00CB162C">
        <w:rPr>
          <w:rFonts w:ascii="Arial" w:hAnsi="Arial" w:cs="Arial"/>
          <w:color w:val="000000"/>
          <w:sz w:val="24"/>
          <w:szCs w:val="24"/>
        </w:rPr>
        <w:t xml:space="preserve">The GRSP is sponsored by the Commandant, Marine Corps, with management vested in Commanding General (CG), TECOM and primarily executed by Commander, Marine Corps Systems Command (MARCORSYSCOM) through Program Manager, Training Systems (PMTRASYS).  The GRSP supports Marine Corps Ranges and Training Areas (RTA) by providing for the replacement and sustainment of generally low-cost tactical training range capabilities and ensuring current and future Marine Force (MARFOR) training range capabilities are sustained, upgraded, and modernized.  Lists of range requirements are gathered from the Marine Corps Bases and Station ranges annually.  These requirements are validated by TECOM (C465) and then reviewed by Marine Forces Command (MARFORCOM), Marine Forces Pacific (MARFORPAC) and Marine Forces Reserve (MARFORRES).  A board consisting of representatives of the USMC Warfighting Advocates is then convened to determine final prioritization for approval.  Approval authority for the prioritized list is CG, TECOM.  GRSP items are generally restricted to equipment/systems costing less than $200,000.00.  Approval authority for projects in excess of this amount is CG, TECOM.  The GRSP budget line for the procurement of replacement or sustainment systems/equipment is normally available for one year.  Unapproved requirements must be resubmitted by the requiring activity for consideration in the following fiscal year. </w:t>
      </w:r>
    </w:p>
    <w:p w:rsidR="008526E6" w:rsidRDefault="008526E6">
      <w:pPr>
        <w:rPr>
          <w:rFonts w:ascii="Arial" w:hAnsi="Arial" w:cs="Arial"/>
        </w:rPr>
      </w:pPr>
    </w:p>
    <w:p w:rsidR="00CB162C" w:rsidRPr="00CB162C" w:rsidRDefault="00CB162C" w:rsidP="00CB162C">
      <w:pPr>
        <w:pStyle w:val="Heading"/>
        <w:widowControl/>
        <w:ind w:left="0"/>
        <w:rPr>
          <w:rFonts w:ascii="Arial" w:hAnsi="Arial" w:cs="Arial"/>
          <w:color w:val="000000"/>
          <w:szCs w:val="24"/>
        </w:rPr>
      </w:pPr>
      <w:r w:rsidRPr="00C2761A">
        <w:rPr>
          <w:rFonts w:ascii="Arial" w:hAnsi="Arial" w:cs="Arial"/>
          <w:b/>
          <w:color w:val="000000"/>
          <w:szCs w:val="24"/>
        </w:rPr>
        <w:t>GRSP equipment and systems include</w:t>
      </w:r>
      <w:r w:rsidRPr="00CB162C">
        <w:rPr>
          <w:rFonts w:ascii="Arial" w:hAnsi="Arial" w:cs="Arial"/>
          <w:color w:val="000000"/>
          <w:szCs w:val="24"/>
        </w:rPr>
        <w:t xml:space="preserve">: </w:t>
      </w:r>
    </w:p>
    <w:p w:rsidR="00CB162C" w:rsidRPr="00CB162C" w:rsidRDefault="00CB162C" w:rsidP="00CB162C">
      <w:pPr>
        <w:pStyle w:val="Heading"/>
        <w:widowControl/>
        <w:ind w:left="0"/>
        <w:rPr>
          <w:rFonts w:ascii="Arial" w:hAnsi="Arial" w:cs="Arial"/>
          <w:color w:val="000000"/>
          <w:szCs w:val="24"/>
        </w:rPr>
      </w:pPr>
    </w:p>
    <w:p w:rsidR="00C2761A" w:rsidRDefault="00CB162C" w:rsidP="00C2761A">
      <w:pPr>
        <w:pStyle w:val="Heading"/>
        <w:widowControl/>
        <w:numPr>
          <w:ilvl w:val="0"/>
          <w:numId w:val="3"/>
        </w:numPr>
        <w:rPr>
          <w:rFonts w:ascii="Arial" w:hAnsi="Arial" w:cs="Arial"/>
        </w:rPr>
      </w:pPr>
      <w:r w:rsidRPr="00CB162C">
        <w:rPr>
          <w:rFonts w:ascii="Arial" w:hAnsi="Arial" w:cs="Arial"/>
        </w:rPr>
        <w:t>Expanding or altering the capabilities of existing systems;</w:t>
      </w:r>
    </w:p>
    <w:p w:rsidR="00C2761A" w:rsidRDefault="00CB162C" w:rsidP="00C2761A">
      <w:pPr>
        <w:pStyle w:val="Heading"/>
        <w:widowControl/>
        <w:numPr>
          <w:ilvl w:val="0"/>
          <w:numId w:val="3"/>
        </w:numPr>
        <w:rPr>
          <w:rFonts w:ascii="Arial" w:hAnsi="Arial" w:cs="Arial"/>
        </w:rPr>
      </w:pPr>
      <w:r w:rsidRPr="00C2761A">
        <w:rPr>
          <w:rFonts w:ascii="Arial" w:hAnsi="Arial" w:cs="Arial"/>
        </w:rPr>
        <w:t>Modernizing and/or upgrading existing system components;</w:t>
      </w:r>
    </w:p>
    <w:p w:rsidR="00C2761A" w:rsidRDefault="00CB162C" w:rsidP="00C2761A">
      <w:pPr>
        <w:pStyle w:val="Heading"/>
        <w:widowControl/>
        <w:numPr>
          <w:ilvl w:val="0"/>
          <w:numId w:val="3"/>
        </w:numPr>
        <w:rPr>
          <w:rFonts w:ascii="Arial" w:hAnsi="Arial" w:cs="Arial"/>
        </w:rPr>
      </w:pPr>
      <w:r w:rsidRPr="00C2761A">
        <w:rPr>
          <w:rFonts w:ascii="Arial" w:hAnsi="Arial" w:cs="Arial"/>
        </w:rPr>
        <w:t>Simplifying operation and/or maintenance of existing systems;</w:t>
      </w:r>
    </w:p>
    <w:p w:rsidR="00C2761A" w:rsidRDefault="00CB162C" w:rsidP="00C2761A">
      <w:pPr>
        <w:pStyle w:val="Heading"/>
        <w:widowControl/>
        <w:numPr>
          <w:ilvl w:val="0"/>
          <w:numId w:val="3"/>
        </w:numPr>
        <w:rPr>
          <w:rFonts w:ascii="Arial" w:hAnsi="Arial" w:cs="Arial"/>
        </w:rPr>
      </w:pPr>
      <w:r w:rsidRPr="00C2761A">
        <w:rPr>
          <w:rFonts w:ascii="Arial" w:hAnsi="Arial" w:cs="Arial"/>
        </w:rPr>
        <w:t>Providing for safety of personnel, operational safety and security of installed ground range systems and equipment; and,</w:t>
      </w:r>
    </w:p>
    <w:p w:rsidR="00CB162C" w:rsidRPr="00C2761A" w:rsidRDefault="00CB162C" w:rsidP="00C2761A">
      <w:pPr>
        <w:pStyle w:val="Heading"/>
        <w:widowControl/>
        <w:numPr>
          <w:ilvl w:val="0"/>
          <w:numId w:val="3"/>
        </w:numPr>
        <w:rPr>
          <w:rFonts w:ascii="Arial" w:hAnsi="Arial" w:cs="Arial"/>
        </w:rPr>
      </w:pPr>
      <w:r w:rsidRPr="00C2761A">
        <w:rPr>
          <w:rFonts w:ascii="Arial" w:hAnsi="Arial" w:cs="Arial"/>
        </w:rPr>
        <w:t>Sustaining and replacing ground RTA capabilities.</w:t>
      </w:r>
    </w:p>
    <w:p w:rsidR="00CB162C" w:rsidRDefault="00CB162C" w:rsidP="00CB162C">
      <w:pPr>
        <w:pStyle w:val="Heading"/>
        <w:widowControl/>
        <w:ind w:left="0"/>
        <w:rPr>
          <w:rFonts w:ascii="Arial" w:hAnsi="Arial" w:cs="Arial"/>
        </w:rPr>
      </w:pPr>
    </w:p>
    <w:p w:rsidR="00CB162C" w:rsidRPr="00C2761A" w:rsidRDefault="00CB162C" w:rsidP="00CB162C">
      <w:pPr>
        <w:pStyle w:val="Heading"/>
        <w:widowControl/>
        <w:ind w:left="0"/>
        <w:rPr>
          <w:rFonts w:ascii="Arial" w:hAnsi="Arial" w:cs="Arial"/>
        </w:rPr>
      </w:pPr>
      <w:proofErr w:type="gramStart"/>
      <w:r w:rsidRPr="00C2761A">
        <w:rPr>
          <w:rFonts w:ascii="Arial" w:hAnsi="Arial" w:cs="Arial"/>
          <w:b/>
          <w:color w:val="000000"/>
          <w:szCs w:val="24"/>
        </w:rPr>
        <w:t>GRSP Exclusions</w:t>
      </w:r>
      <w:r w:rsidRPr="00C2761A">
        <w:rPr>
          <w:rFonts w:ascii="Arial" w:hAnsi="Arial" w:cs="Arial"/>
          <w:color w:val="000000"/>
          <w:szCs w:val="24"/>
        </w:rPr>
        <w:t>.</w:t>
      </w:r>
      <w:proofErr w:type="gramEnd"/>
      <w:r w:rsidRPr="00C2761A">
        <w:rPr>
          <w:rFonts w:ascii="Arial" w:hAnsi="Arial" w:cs="Arial"/>
          <w:color w:val="000000"/>
          <w:szCs w:val="24"/>
        </w:rPr>
        <w:t xml:space="preserve">  The following are specifically </w:t>
      </w:r>
      <w:r w:rsidRPr="00C2761A">
        <w:rPr>
          <w:rFonts w:ascii="Arial" w:hAnsi="Arial" w:cs="Arial"/>
          <w:color w:val="000000"/>
          <w:szCs w:val="24"/>
          <w:u w:val="single"/>
        </w:rPr>
        <w:t>excluded</w:t>
      </w:r>
      <w:r w:rsidRPr="00C2761A">
        <w:rPr>
          <w:rFonts w:ascii="Arial" w:hAnsi="Arial" w:cs="Arial"/>
          <w:color w:val="000000"/>
          <w:szCs w:val="24"/>
        </w:rPr>
        <w:t xml:space="preserve"> from being replaced or sustained with GRSP O&amp;M, MC funds: </w:t>
      </w:r>
    </w:p>
    <w:p w:rsidR="00CB162C" w:rsidRPr="00C2761A" w:rsidRDefault="00CB162C" w:rsidP="00CB162C">
      <w:pPr>
        <w:autoSpaceDE w:val="0"/>
        <w:autoSpaceDN w:val="0"/>
        <w:adjustRightInd w:val="0"/>
        <w:rPr>
          <w:rFonts w:ascii="Arial" w:hAnsi="Arial" w:cs="Arial"/>
          <w:color w:val="000000"/>
          <w:sz w:val="24"/>
          <w:szCs w:val="24"/>
        </w:rPr>
      </w:pPr>
    </w:p>
    <w:p w:rsidR="00CB162C" w:rsidRPr="00C2761A" w:rsidRDefault="00CB162C" w:rsidP="00C2761A">
      <w:pPr>
        <w:pStyle w:val="ListParagraph"/>
        <w:numPr>
          <w:ilvl w:val="0"/>
          <w:numId w:val="1"/>
        </w:numPr>
        <w:autoSpaceDE w:val="0"/>
        <w:autoSpaceDN w:val="0"/>
        <w:adjustRightInd w:val="0"/>
        <w:rPr>
          <w:rFonts w:ascii="Arial" w:hAnsi="Arial" w:cs="Arial"/>
          <w:color w:val="000000"/>
          <w:sz w:val="24"/>
          <w:szCs w:val="24"/>
        </w:rPr>
      </w:pPr>
      <w:r w:rsidRPr="00C2761A">
        <w:rPr>
          <w:rFonts w:ascii="Arial" w:hAnsi="Arial" w:cs="Arial"/>
          <w:color w:val="000000"/>
          <w:sz w:val="24"/>
          <w:szCs w:val="24"/>
        </w:rPr>
        <w:t>Functions exclusively funded under the Base Operating Support (BOS) appropriation (i.e. - system operations by operator personnel and equipment or system repairs/overhaul);</w:t>
      </w:r>
    </w:p>
    <w:p w:rsidR="00C2761A" w:rsidRDefault="00CB162C" w:rsidP="00CB162C">
      <w:pPr>
        <w:pStyle w:val="ListParagraph"/>
        <w:numPr>
          <w:ilvl w:val="0"/>
          <w:numId w:val="1"/>
        </w:numPr>
        <w:autoSpaceDE w:val="0"/>
        <w:autoSpaceDN w:val="0"/>
        <w:adjustRightInd w:val="0"/>
        <w:rPr>
          <w:rFonts w:ascii="Arial" w:hAnsi="Arial" w:cs="Arial"/>
          <w:color w:val="000000"/>
          <w:sz w:val="24"/>
          <w:szCs w:val="24"/>
        </w:rPr>
      </w:pPr>
      <w:r w:rsidRPr="00C2761A">
        <w:rPr>
          <w:rFonts w:ascii="Arial" w:hAnsi="Arial" w:cs="Arial"/>
          <w:color w:val="000000"/>
          <w:sz w:val="24"/>
          <w:szCs w:val="24"/>
        </w:rPr>
        <w:t>Building/facility construction projects exclusively funded under the Military Construction (MILCON) appropriation;</w:t>
      </w:r>
    </w:p>
    <w:p w:rsidR="00C2761A" w:rsidRPr="00C2761A" w:rsidRDefault="00CB162C" w:rsidP="00CB162C">
      <w:pPr>
        <w:pStyle w:val="ListParagraph"/>
        <w:numPr>
          <w:ilvl w:val="0"/>
          <w:numId w:val="1"/>
        </w:numPr>
        <w:autoSpaceDE w:val="0"/>
        <w:autoSpaceDN w:val="0"/>
        <w:adjustRightInd w:val="0"/>
        <w:rPr>
          <w:rFonts w:ascii="Arial" w:hAnsi="Arial" w:cs="Arial"/>
          <w:color w:val="000000"/>
          <w:sz w:val="24"/>
          <w:szCs w:val="24"/>
        </w:rPr>
      </w:pPr>
      <w:r w:rsidRPr="00C2761A">
        <w:rPr>
          <w:rFonts w:ascii="Arial" w:hAnsi="Arial" w:cs="Arial"/>
          <w:sz w:val="24"/>
          <w:szCs w:val="24"/>
        </w:rPr>
        <w:t>Certain categories of Support Equipment (SE).  For example, equipment appearing on an activity's Table of Equipment (T/E) list or equipment on any comparable/ corresponding allowance list or SE used for general purpose/non-range maintenance requirements and vehicles, boats, and lawn mowers;</w:t>
      </w:r>
    </w:p>
    <w:p w:rsidR="00C2761A" w:rsidRPr="00C2761A" w:rsidRDefault="00CB162C" w:rsidP="00CB162C">
      <w:pPr>
        <w:pStyle w:val="ListParagraph"/>
        <w:numPr>
          <w:ilvl w:val="0"/>
          <w:numId w:val="1"/>
        </w:numPr>
        <w:autoSpaceDE w:val="0"/>
        <w:autoSpaceDN w:val="0"/>
        <w:adjustRightInd w:val="0"/>
        <w:rPr>
          <w:rFonts w:ascii="Arial" w:hAnsi="Arial" w:cs="Arial"/>
          <w:color w:val="000000"/>
          <w:sz w:val="24"/>
          <w:szCs w:val="24"/>
        </w:rPr>
      </w:pPr>
      <w:r w:rsidRPr="00C2761A">
        <w:rPr>
          <w:rFonts w:ascii="Arial" w:hAnsi="Arial" w:cs="Arial"/>
          <w:sz w:val="24"/>
          <w:szCs w:val="24"/>
        </w:rPr>
        <w:t xml:space="preserve">Consumable items. The replacement of consumables is the responsibility of the operating activity. For example, batteries and targets are not valid GRSP items and should be obtained with activity BOS funds. </w:t>
      </w:r>
    </w:p>
    <w:p w:rsidR="00C2761A" w:rsidRPr="00C2761A" w:rsidRDefault="00CB162C" w:rsidP="00CB162C">
      <w:pPr>
        <w:pStyle w:val="ListParagraph"/>
        <w:numPr>
          <w:ilvl w:val="0"/>
          <w:numId w:val="1"/>
        </w:numPr>
        <w:autoSpaceDE w:val="0"/>
        <w:autoSpaceDN w:val="0"/>
        <w:adjustRightInd w:val="0"/>
        <w:rPr>
          <w:rFonts w:ascii="Arial" w:hAnsi="Arial" w:cs="Arial"/>
          <w:color w:val="000000"/>
          <w:sz w:val="24"/>
          <w:szCs w:val="24"/>
        </w:rPr>
      </w:pPr>
      <w:r w:rsidRPr="00C2761A">
        <w:rPr>
          <w:rFonts w:ascii="Arial" w:hAnsi="Arial" w:cs="Arial"/>
          <w:sz w:val="24"/>
          <w:szCs w:val="24"/>
        </w:rPr>
        <w:t>Replenishment of spare or repair parts;</w:t>
      </w:r>
    </w:p>
    <w:p w:rsidR="00C2761A" w:rsidRPr="00C2761A" w:rsidRDefault="00CB162C" w:rsidP="00CB162C">
      <w:pPr>
        <w:pStyle w:val="ListParagraph"/>
        <w:numPr>
          <w:ilvl w:val="0"/>
          <w:numId w:val="1"/>
        </w:numPr>
        <w:autoSpaceDE w:val="0"/>
        <w:autoSpaceDN w:val="0"/>
        <w:adjustRightInd w:val="0"/>
        <w:rPr>
          <w:rFonts w:ascii="Arial" w:hAnsi="Arial" w:cs="Arial"/>
          <w:color w:val="000000"/>
          <w:sz w:val="24"/>
          <w:szCs w:val="24"/>
        </w:rPr>
      </w:pPr>
      <w:r w:rsidRPr="00C2761A">
        <w:rPr>
          <w:rFonts w:ascii="Arial" w:hAnsi="Arial" w:cs="Arial"/>
          <w:sz w:val="24"/>
          <w:szCs w:val="24"/>
        </w:rPr>
        <w:t>Exercise Instrumentation (e.g. Multiple Integrated Laser Engagement System (MILES-2000), Position Location Instrumentation (PLI), Indoor Simulated Marksmanship Trainer (ISMT), the Infantry Squad Trainer (IST), and other Minor Training Devices (MTDs));</w:t>
      </w:r>
    </w:p>
    <w:p w:rsidR="00C2761A" w:rsidRPr="00C2761A" w:rsidRDefault="00CB162C" w:rsidP="00CB162C">
      <w:pPr>
        <w:pStyle w:val="ListParagraph"/>
        <w:numPr>
          <w:ilvl w:val="0"/>
          <w:numId w:val="1"/>
        </w:numPr>
        <w:autoSpaceDE w:val="0"/>
        <w:autoSpaceDN w:val="0"/>
        <w:adjustRightInd w:val="0"/>
        <w:rPr>
          <w:rFonts w:ascii="Arial" w:hAnsi="Arial" w:cs="Arial"/>
          <w:color w:val="000000"/>
          <w:sz w:val="24"/>
          <w:szCs w:val="24"/>
        </w:rPr>
      </w:pPr>
      <w:r w:rsidRPr="00C2761A">
        <w:rPr>
          <w:rFonts w:ascii="Arial" w:hAnsi="Arial" w:cs="Arial"/>
          <w:sz w:val="24"/>
          <w:szCs w:val="24"/>
        </w:rPr>
        <w:t>Computer equipment used for administrative functions; and,</w:t>
      </w:r>
    </w:p>
    <w:p w:rsidR="00CB162C" w:rsidRPr="00414308" w:rsidRDefault="00C2761A" w:rsidP="00CB162C">
      <w:pPr>
        <w:pStyle w:val="ListParagraph"/>
        <w:numPr>
          <w:ilvl w:val="0"/>
          <w:numId w:val="1"/>
        </w:numPr>
        <w:autoSpaceDE w:val="0"/>
        <w:autoSpaceDN w:val="0"/>
        <w:adjustRightInd w:val="0"/>
        <w:rPr>
          <w:rFonts w:ascii="Arial" w:hAnsi="Arial" w:cs="Arial"/>
          <w:color w:val="000000"/>
          <w:sz w:val="24"/>
          <w:szCs w:val="24"/>
        </w:rPr>
      </w:pPr>
      <w:r w:rsidRPr="00C2761A">
        <w:rPr>
          <w:rFonts w:ascii="Arial" w:hAnsi="Arial" w:cs="Arial"/>
          <w:sz w:val="24"/>
          <w:szCs w:val="24"/>
        </w:rPr>
        <w:t>I</w:t>
      </w:r>
      <w:r w:rsidR="00CB162C" w:rsidRPr="00C2761A">
        <w:rPr>
          <w:rFonts w:ascii="Arial" w:hAnsi="Arial" w:cs="Arial"/>
          <w:sz w:val="24"/>
          <w:szCs w:val="24"/>
        </w:rPr>
        <w:t xml:space="preserve">nstallation of systems/equipment not procured via the GRSP and reinstallation/relocation of previously installed systems/equipment. </w:t>
      </w:r>
    </w:p>
    <w:p w:rsidR="00414308" w:rsidRDefault="00414308" w:rsidP="00414308">
      <w:pPr>
        <w:autoSpaceDE w:val="0"/>
        <w:autoSpaceDN w:val="0"/>
        <w:adjustRightInd w:val="0"/>
        <w:ind w:left="45"/>
        <w:rPr>
          <w:rFonts w:ascii="Arial" w:hAnsi="Arial" w:cs="Arial"/>
          <w:color w:val="000000"/>
          <w:sz w:val="24"/>
          <w:szCs w:val="24"/>
        </w:rPr>
      </w:pPr>
    </w:p>
    <w:p w:rsidR="00414308" w:rsidRDefault="00414308" w:rsidP="00414308">
      <w:pPr>
        <w:autoSpaceDE w:val="0"/>
        <w:autoSpaceDN w:val="0"/>
        <w:adjustRightInd w:val="0"/>
        <w:ind w:left="45"/>
        <w:rPr>
          <w:rFonts w:ascii="Arial" w:hAnsi="Arial" w:cs="Arial"/>
          <w:b/>
          <w:color w:val="000000"/>
          <w:sz w:val="24"/>
          <w:szCs w:val="24"/>
        </w:rPr>
      </w:pPr>
      <w:proofErr w:type="gramStart"/>
      <w:r w:rsidRPr="00414308">
        <w:rPr>
          <w:rFonts w:ascii="Arial" w:hAnsi="Arial" w:cs="Arial"/>
          <w:b/>
          <w:color w:val="000000"/>
          <w:sz w:val="24"/>
          <w:szCs w:val="24"/>
        </w:rPr>
        <w:t>Unit requirements.</w:t>
      </w:r>
      <w:proofErr w:type="gramEnd"/>
    </w:p>
    <w:p w:rsidR="00414308" w:rsidRDefault="00414308" w:rsidP="00414308">
      <w:pPr>
        <w:autoSpaceDE w:val="0"/>
        <w:autoSpaceDN w:val="0"/>
        <w:adjustRightInd w:val="0"/>
        <w:ind w:left="45"/>
        <w:rPr>
          <w:rFonts w:ascii="Arial" w:hAnsi="Arial" w:cs="Arial"/>
          <w:b/>
          <w:color w:val="000000"/>
          <w:sz w:val="24"/>
          <w:szCs w:val="24"/>
        </w:rPr>
      </w:pPr>
    </w:p>
    <w:p w:rsidR="00414308" w:rsidRPr="00414308" w:rsidRDefault="00414308" w:rsidP="00414308">
      <w:pPr>
        <w:pStyle w:val="ListParagraph"/>
        <w:numPr>
          <w:ilvl w:val="0"/>
          <w:numId w:val="5"/>
        </w:numPr>
        <w:autoSpaceDE w:val="0"/>
        <w:autoSpaceDN w:val="0"/>
        <w:adjustRightInd w:val="0"/>
        <w:rPr>
          <w:rFonts w:ascii="Arial" w:hAnsi="Arial" w:cs="Arial"/>
          <w:b/>
          <w:color w:val="000000"/>
          <w:sz w:val="24"/>
          <w:szCs w:val="24"/>
        </w:rPr>
      </w:pPr>
      <w:r>
        <w:rPr>
          <w:rFonts w:ascii="Arial" w:hAnsi="Arial" w:cs="Arial"/>
          <w:color w:val="000000"/>
          <w:sz w:val="24"/>
          <w:szCs w:val="24"/>
        </w:rPr>
        <w:t>Each unit shall identify their requirements and submit them on the Camp Pendleton standard GRSP request no later than February 28 of each year</w:t>
      </w:r>
      <w:r w:rsidR="007125E4">
        <w:rPr>
          <w:rFonts w:ascii="Arial" w:hAnsi="Arial" w:cs="Arial"/>
          <w:color w:val="000000"/>
          <w:sz w:val="24"/>
          <w:szCs w:val="24"/>
        </w:rPr>
        <w:t xml:space="preserve"> to the Camp Pendleton GRSP Manager</w:t>
      </w:r>
      <w:r>
        <w:rPr>
          <w:rFonts w:ascii="Arial" w:hAnsi="Arial" w:cs="Arial"/>
          <w:color w:val="000000"/>
          <w:sz w:val="24"/>
          <w:szCs w:val="24"/>
        </w:rPr>
        <w:t>.</w:t>
      </w:r>
    </w:p>
    <w:p w:rsidR="00414308" w:rsidRPr="00414308" w:rsidRDefault="00414308" w:rsidP="00414308">
      <w:pPr>
        <w:pStyle w:val="ListParagraph"/>
        <w:numPr>
          <w:ilvl w:val="0"/>
          <w:numId w:val="5"/>
        </w:numPr>
        <w:autoSpaceDE w:val="0"/>
        <w:autoSpaceDN w:val="0"/>
        <w:adjustRightInd w:val="0"/>
        <w:rPr>
          <w:rFonts w:ascii="Arial" w:hAnsi="Arial" w:cs="Arial"/>
          <w:b/>
          <w:color w:val="000000"/>
          <w:sz w:val="24"/>
          <w:szCs w:val="24"/>
        </w:rPr>
      </w:pPr>
      <w:r>
        <w:rPr>
          <w:rFonts w:ascii="Arial" w:hAnsi="Arial" w:cs="Arial"/>
          <w:color w:val="000000"/>
          <w:sz w:val="24"/>
          <w:szCs w:val="24"/>
        </w:rPr>
        <w:t xml:space="preserve">Write each request as detailed as possible. The more urgent the need the more consideration it will receive. </w:t>
      </w:r>
    </w:p>
    <w:p w:rsidR="00414308" w:rsidRPr="00414308" w:rsidRDefault="00414308" w:rsidP="00414308">
      <w:pPr>
        <w:pStyle w:val="ListParagraph"/>
        <w:numPr>
          <w:ilvl w:val="0"/>
          <w:numId w:val="5"/>
        </w:numPr>
        <w:autoSpaceDE w:val="0"/>
        <w:autoSpaceDN w:val="0"/>
        <w:adjustRightInd w:val="0"/>
        <w:rPr>
          <w:rFonts w:ascii="Arial" w:hAnsi="Arial" w:cs="Arial"/>
          <w:b/>
          <w:color w:val="000000"/>
          <w:sz w:val="24"/>
          <w:szCs w:val="24"/>
        </w:rPr>
      </w:pPr>
      <w:r w:rsidRPr="00414308">
        <w:rPr>
          <w:rFonts w:ascii="Arial" w:hAnsi="Arial" w:cs="Arial"/>
          <w:sz w:val="24"/>
          <w:szCs w:val="24"/>
        </w:rPr>
        <w:t xml:space="preserve">Failure to provide sufficient justification and description for the requirement record on the GRSP </w:t>
      </w:r>
      <w:r>
        <w:rPr>
          <w:rFonts w:ascii="Arial" w:hAnsi="Arial" w:cs="Arial"/>
          <w:sz w:val="24"/>
          <w:szCs w:val="24"/>
        </w:rPr>
        <w:t>request</w:t>
      </w:r>
      <w:r w:rsidRPr="00414308">
        <w:rPr>
          <w:rFonts w:ascii="Arial" w:hAnsi="Arial" w:cs="Arial"/>
          <w:sz w:val="24"/>
          <w:szCs w:val="24"/>
        </w:rPr>
        <w:t xml:space="preserve"> may adversely impact prioritization and approval of the requirement</w:t>
      </w:r>
      <w:r>
        <w:rPr>
          <w:rFonts w:ascii="Arial" w:hAnsi="Arial" w:cs="Arial"/>
          <w:sz w:val="24"/>
          <w:szCs w:val="24"/>
        </w:rPr>
        <w:t>.</w:t>
      </w:r>
    </w:p>
    <w:p w:rsidR="003065B5" w:rsidRDefault="003065B5">
      <w:pPr>
        <w:rPr>
          <w:rFonts w:ascii="Arial" w:hAnsi="Arial" w:cs="Arial"/>
        </w:rPr>
      </w:pPr>
    </w:p>
    <w:p w:rsidR="00CB162C" w:rsidRDefault="003065B5">
      <w:pPr>
        <w:rPr>
          <w:rFonts w:ascii="Arial" w:hAnsi="Arial" w:cs="Arial"/>
          <w:b/>
          <w:sz w:val="24"/>
          <w:szCs w:val="24"/>
          <w:u w:val="single"/>
        </w:rPr>
      </w:pPr>
      <w:r w:rsidRPr="003065B5">
        <w:rPr>
          <w:rFonts w:ascii="Arial" w:hAnsi="Arial" w:cs="Arial"/>
          <w:b/>
          <w:sz w:val="24"/>
          <w:szCs w:val="24"/>
          <w:u w:val="single"/>
        </w:rPr>
        <w:t>GRSP Cycle</w:t>
      </w:r>
    </w:p>
    <w:p w:rsidR="003065B5" w:rsidRDefault="003065B5">
      <w:pPr>
        <w:rPr>
          <w:rFonts w:ascii="Arial" w:hAnsi="Arial" w:cs="Arial"/>
          <w:b/>
          <w:sz w:val="24"/>
          <w:szCs w:val="24"/>
          <w:u w:val="single"/>
        </w:rPr>
      </w:pPr>
    </w:p>
    <w:p w:rsidR="003065B5" w:rsidRPr="003065B5" w:rsidRDefault="003065B5" w:rsidP="003065B5">
      <w:pPr>
        <w:pStyle w:val="Heading"/>
        <w:widowControl/>
        <w:ind w:left="0"/>
        <w:rPr>
          <w:rFonts w:ascii="Arial" w:hAnsi="Arial" w:cs="Arial"/>
          <w:szCs w:val="24"/>
        </w:rPr>
      </w:pPr>
      <w:proofErr w:type="gramStart"/>
      <w:r w:rsidRPr="003065B5">
        <w:rPr>
          <w:rFonts w:ascii="Arial" w:hAnsi="Arial" w:cs="Arial"/>
          <w:szCs w:val="24"/>
        </w:rPr>
        <w:t>The GRSP Cycle.</w:t>
      </w:r>
      <w:proofErr w:type="gramEnd"/>
      <w:r w:rsidRPr="003065B5">
        <w:rPr>
          <w:rFonts w:ascii="Arial" w:hAnsi="Arial" w:cs="Arial"/>
          <w:szCs w:val="24"/>
        </w:rPr>
        <w:t xml:space="preserve">  This section will provide an overview of the program life-cycle, which will be further explored in subsequent sections of this plan.  Requirements developed under the below cycle are intended to be funded and fielded the following fiscal year.</w:t>
      </w:r>
    </w:p>
    <w:p w:rsidR="003065B5" w:rsidRPr="003065B5" w:rsidRDefault="003065B5" w:rsidP="003065B5">
      <w:pPr>
        <w:pStyle w:val="Heading"/>
        <w:widowControl/>
        <w:ind w:left="0"/>
        <w:rPr>
          <w:rFonts w:ascii="Arial" w:hAnsi="Arial" w:cs="Arial"/>
          <w:szCs w:val="24"/>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2"/>
        <w:gridCol w:w="3192"/>
        <w:gridCol w:w="3192"/>
      </w:tblGrid>
      <w:tr w:rsidR="003065B5" w:rsidRPr="003065B5" w:rsidTr="003065B5">
        <w:tc>
          <w:tcPr>
            <w:tcW w:w="3192" w:type="dxa"/>
          </w:tcPr>
          <w:p w:rsidR="003065B5" w:rsidRPr="003065B5" w:rsidRDefault="003065B5" w:rsidP="003065B5">
            <w:pPr>
              <w:pStyle w:val="Heading"/>
              <w:widowControl/>
              <w:ind w:left="0"/>
              <w:jc w:val="center"/>
              <w:rPr>
                <w:rFonts w:ascii="Arial" w:hAnsi="Arial" w:cs="Arial"/>
                <w:b/>
                <w:szCs w:val="24"/>
              </w:rPr>
            </w:pPr>
            <w:r w:rsidRPr="003065B5">
              <w:rPr>
                <w:rFonts w:ascii="Arial" w:hAnsi="Arial" w:cs="Arial"/>
                <w:b/>
                <w:szCs w:val="24"/>
              </w:rPr>
              <w:t>Action</w:t>
            </w:r>
          </w:p>
        </w:tc>
        <w:tc>
          <w:tcPr>
            <w:tcW w:w="3192" w:type="dxa"/>
          </w:tcPr>
          <w:p w:rsidR="003065B5" w:rsidRPr="003065B5" w:rsidRDefault="003065B5" w:rsidP="003065B5">
            <w:pPr>
              <w:pStyle w:val="Heading"/>
              <w:widowControl/>
              <w:ind w:left="0"/>
              <w:jc w:val="center"/>
              <w:rPr>
                <w:rFonts w:ascii="Arial" w:hAnsi="Arial" w:cs="Arial"/>
                <w:b/>
                <w:szCs w:val="24"/>
              </w:rPr>
            </w:pPr>
            <w:r w:rsidRPr="003065B5">
              <w:rPr>
                <w:rFonts w:ascii="Arial" w:hAnsi="Arial" w:cs="Arial"/>
                <w:b/>
                <w:szCs w:val="24"/>
              </w:rPr>
              <w:t>Responsible</w:t>
            </w:r>
          </w:p>
        </w:tc>
        <w:tc>
          <w:tcPr>
            <w:tcW w:w="3192" w:type="dxa"/>
            <w:vAlign w:val="center"/>
          </w:tcPr>
          <w:p w:rsidR="003065B5" w:rsidRPr="003065B5" w:rsidRDefault="003065B5" w:rsidP="003065B5">
            <w:pPr>
              <w:pStyle w:val="Heading"/>
              <w:widowControl/>
              <w:ind w:left="0"/>
              <w:jc w:val="center"/>
              <w:rPr>
                <w:rFonts w:ascii="Arial" w:hAnsi="Arial" w:cs="Arial"/>
                <w:b/>
                <w:szCs w:val="24"/>
              </w:rPr>
            </w:pPr>
            <w:r w:rsidRPr="003065B5">
              <w:rPr>
                <w:rFonts w:ascii="Arial" w:hAnsi="Arial" w:cs="Arial"/>
                <w:b/>
                <w:szCs w:val="24"/>
              </w:rPr>
              <w:t>Timeline</w:t>
            </w:r>
          </w:p>
        </w:tc>
      </w:tr>
      <w:tr w:rsidR="003065B5" w:rsidRPr="003065B5" w:rsidTr="003065B5">
        <w:tc>
          <w:tcPr>
            <w:tcW w:w="3192" w:type="dxa"/>
            <w:vAlign w:val="center"/>
          </w:tcPr>
          <w:p w:rsidR="003065B5" w:rsidRPr="003065B5" w:rsidRDefault="003065B5" w:rsidP="003065B5">
            <w:pPr>
              <w:pStyle w:val="Heading"/>
              <w:widowControl/>
              <w:ind w:left="0"/>
              <w:jc w:val="center"/>
              <w:rPr>
                <w:rFonts w:ascii="Arial" w:hAnsi="Arial" w:cs="Arial"/>
                <w:szCs w:val="24"/>
              </w:rPr>
            </w:pPr>
            <w:r w:rsidRPr="003065B5">
              <w:rPr>
                <w:rFonts w:ascii="Arial" w:hAnsi="Arial" w:cs="Arial"/>
                <w:szCs w:val="24"/>
              </w:rPr>
              <w:t>Identify user requirements</w:t>
            </w:r>
          </w:p>
        </w:tc>
        <w:tc>
          <w:tcPr>
            <w:tcW w:w="3192" w:type="dxa"/>
            <w:vAlign w:val="center"/>
          </w:tcPr>
          <w:p w:rsidR="003065B5" w:rsidRPr="003065B5" w:rsidRDefault="003065B5" w:rsidP="003065B5">
            <w:pPr>
              <w:pStyle w:val="Heading"/>
              <w:widowControl/>
              <w:ind w:left="0"/>
              <w:jc w:val="center"/>
              <w:rPr>
                <w:rFonts w:ascii="Arial" w:hAnsi="Arial" w:cs="Arial"/>
                <w:szCs w:val="24"/>
              </w:rPr>
            </w:pPr>
            <w:r w:rsidRPr="003065B5">
              <w:rPr>
                <w:rFonts w:ascii="Arial" w:hAnsi="Arial" w:cs="Arial"/>
                <w:szCs w:val="24"/>
              </w:rPr>
              <w:t>Base Range Personnel/ MARFORs</w:t>
            </w:r>
          </w:p>
        </w:tc>
        <w:tc>
          <w:tcPr>
            <w:tcW w:w="3192" w:type="dxa"/>
            <w:vAlign w:val="center"/>
          </w:tcPr>
          <w:p w:rsidR="003065B5" w:rsidRPr="003065B5" w:rsidRDefault="003065B5" w:rsidP="003065B5">
            <w:pPr>
              <w:pStyle w:val="Heading"/>
              <w:widowControl/>
              <w:ind w:left="0"/>
              <w:jc w:val="center"/>
              <w:rPr>
                <w:rFonts w:ascii="Arial" w:hAnsi="Arial" w:cs="Arial"/>
                <w:szCs w:val="24"/>
              </w:rPr>
            </w:pPr>
            <w:r w:rsidRPr="003065B5">
              <w:rPr>
                <w:rFonts w:ascii="Arial" w:hAnsi="Arial" w:cs="Arial"/>
                <w:szCs w:val="24"/>
              </w:rPr>
              <w:t>NLT 31 March</w:t>
            </w:r>
          </w:p>
        </w:tc>
      </w:tr>
      <w:tr w:rsidR="003065B5" w:rsidRPr="003065B5" w:rsidTr="003065B5">
        <w:tc>
          <w:tcPr>
            <w:tcW w:w="3192" w:type="dxa"/>
            <w:vAlign w:val="center"/>
          </w:tcPr>
          <w:p w:rsidR="003065B5" w:rsidRPr="003065B5" w:rsidRDefault="003065B5" w:rsidP="003065B5">
            <w:pPr>
              <w:pStyle w:val="Heading"/>
              <w:widowControl/>
              <w:ind w:left="0"/>
              <w:jc w:val="center"/>
              <w:rPr>
                <w:rFonts w:ascii="Arial" w:hAnsi="Arial" w:cs="Arial"/>
                <w:szCs w:val="24"/>
              </w:rPr>
            </w:pPr>
            <w:r w:rsidRPr="003065B5">
              <w:rPr>
                <w:rFonts w:ascii="Arial" w:hAnsi="Arial" w:cs="Arial"/>
                <w:szCs w:val="24"/>
              </w:rPr>
              <w:t>Submit requirements via GRSP website</w:t>
            </w:r>
          </w:p>
        </w:tc>
        <w:tc>
          <w:tcPr>
            <w:tcW w:w="3192" w:type="dxa"/>
            <w:vAlign w:val="center"/>
          </w:tcPr>
          <w:p w:rsidR="003065B5" w:rsidRPr="003065B5" w:rsidRDefault="003065B5" w:rsidP="003065B5">
            <w:pPr>
              <w:pStyle w:val="Heading"/>
              <w:widowControl/>
              <w:ind w:left="0"/>
              <w:jc w:val="center"/>
              <w:rPr>
                <w:rFonts w:ascii="Arial" w:hAnsi="Arial" w:cs="Arial"/>
                <w:szCs w:val="24"/>
              </w:rPr>
            </w:pPr>
            <w:r w:rsidRPr="003065B5">
              <w:rPr>
                <w:rFonts w:ascii="Arial" w:hAnsi="Arial" w:cs="Arial"/>
                <w:szCs w:val="24"/>
              </w:rPr>
              <w:t>Base Range Personnel</w:t>
            </w:r>
          </w:p>
        </w:tc>
        <w:tc>
          <w:tcPr>
            <w:tcW w:w="3192" w:type="dxa"/>
            <w:vAlign w:val="center"/>
          </w:tcPr>
          <w:p w:rsidR="003065B5" w:rsidRPr="003065B5" w:rsidRDefault="003065B5" w:rsidP="003065B5">
            <w:pPr>
              <w:pStyle w:val="Heading"/>
              <w:widowControl/>
              <w:ind w:left="0"/>
              <w:jc w:val="center"/>
              <w:rPr>
                <w:rFonts w:ascii="Arial" w:hAnsi="Arial" w:cs="Arial"/>
                <w:szCs w:val="24"/>
              </w:rPr>
            </w:pPr>
            <w:r w:rsidRPr="003065B5">
              <w:rPr>
                <w:rFonts w:ascii="Arial" w:hAnsi="Arial" w:cs="Arial"/>
                <w:szCs w:val="24"/>
              </w:rPr>
              <w:t>NLT 31 March</w:t>
            </w:r>
          </w:p>
        </w:tc>
      </w:tr>
      <w:tr w:rsidR="003065B5" w:rsidRPr="003065B5" w:rsidTr="003065B5">
        <w:tc>
          <w:tcPr>
            <w:tcW w:w="3192" w:type="dxa"/>
            <w:vAlign w:val="center"/>
          </w:tcPr>
          <w:p w:rsidR="003065B5" w:rsidRPr="003065B5" w:rsidRDefault="003065B5" w:rsidP="003065B5">
            <w:pPr>
              <w:pStyle w:val="Heading"/>
              <w:widowControl/>
              <w:ind w:left="0"/>
              <w:jc w:val="center"/>
              <w:rPr>
                <w:rFonts w:ascii="Arial" w:hAnsi="Arial" w:cs="Arial"/>
                <w:szCs w:val="24"/>
              </w:rPr>
            </w:pPr>
            <w:r w:rsidRPr="003065B5">
              <w:rPr>
                <w:rFonts w:ascii="Arial" w:hAnsi="Arial" w:cs="Arial"/>
                <w:szCs w:val="24"/>
              </w:rPr>
              <w:t xml:space="preserve">Validate requirements </w:t>
            </w:r>
          </w:p>
          <w:p w:rsidR="003065B5" w:rsidRPr="003065B5" w:rsidRDefault="003065B5" w:rsidP="003065B5">
            <w:pPr>
              <w:pStyle w:val="Heading"/>
              <w:widowControl/>
              <w:ind w:left="0"/>
              <w:jc w:val="center"/>
              <w:rPr>
                <w:rFonts w:ascii="Arial" w:hAnsi="Arial" w:cs="Arial"/>
                <w:szCs w:val="24"/>
              </w:rPr>
            </w:pPr>
            <w:r w:rsidRPr="003065B5">
              <w:rPr>
                <w:rFonts w:ascii="Arial" w:hAnsi="Arial" w:cs="Arial"/>
                <w:szCs w:val="24"/>
              </w:rPr>
              <w:t>(site visit)</w:t>
            </w:r>
          </w:p>
        </w:tc>
        <w:tc>
          <w:tcPr>
            <w:tcW w:w="3192" w:type="dxa"/>
            <w:vAlign w:val="center"/>
          </w:tcPr>
          <w:p w:rsidR="003065B5" w:rsidRPr="003065B5" w:rsidRDefault="003065B5" w:rsidP="003065B5">
            <w:pPr>
              <w:pStyle w:val="Heading"/>
              <w:widowControl/>
              <w:ind w:left="0"/>
              <w:jc w:val="center"/>
              <w:rPr>
                <w:rFonts w:ascii="Arial" w:hAnsi="Arial" w:cs="Arial"/>
                <w:szCs w:val="24"/>
              </w:rPr>
            </w:pPr>
            <w:r w:rsidRPr="003065B5">
              <w:rPr>
                <w:rFonts w:ascii="Arial" w:hAnsi="Arial" w:cs="Arial"/>
                <w:szCs w:val="24"/>
              </w:rPr>
              <w:t>RTAM/ PMTRASYS</w:t>
            </w:r>
          </w:p>
        </w:tc>
        <w:tc>
          <w:tcPr>
            <w:tcW w:w="3192" w:type="dxa"/>
            <w:vAlign w:val="center"/>
          </w:tcPr>
          <w:p w:rsidR="003065B5" w:rsidRPr="003065B5" w:rsidRDefault="003065B5" w:rsidP="003065B5">
            <w:pPr>
              <w:pStyle w:val="Heading"/>
              <w:widowControl/>
              <w:ind w:left="0"/>
              <w:jc w:val="center"/>
              <w:rPr>
                <w:rFonts w:ascii="Arial" w:hAnsi="Arial" w:cs="Arial"/>
                <w:szCs w:val="24"/>
              </w:rPr>
            </w:pPr>
            <w:r w:rsidRPr="003065B5">
              <w:rPr>
                <w:rFonts w:ascii="Arial" w:hAnsi="Arial" w:cs="Arial"/>
                <w:szCs w:val="24"/>
              </w:rPr>
              <w:t>NLT 31 May</w:t>
            </w:r>
          </w:p>
        </w:tc>
      </w:tr>
      <w:tr w:rsidR="003065B5" w:rsidRPr="003065B5" w:rsidTr="003065B5">
        <w:tc>
          <w:tcPr>
            <w:tcW w:w="3192" w:type="dxa"/>
            <w:vAlign w:val="center"/>
          </w:tcPr>
          <w:p w:rsidR="003065B5" w:rsidRPr="003065B5" w:rsidRDefault="003065B5" w:rsidP="003065B5">
            <w:pPr>
              <w:pStyle w:val="Heading"/>
              <w:widowControl/>
              <w:ind w:left="0"/>
              <w:jc w:val="center"/>
              <w:rPr>
                <w:rFonts w:ascii="Arial" w:hAnsi="Arial" w:cs="Arial"/>
                <w:szCs w:val="24"/>
              </w:rPr>
            </w:pPr>
            <w:r w:rsidRPr="003065B5">
              <w:rPr>
                <w:rFonts w:ascii="Arial" w:hAnsi="Arial" w:cs="Arial"/>
                <w:szCs w:val="24"/>
              </w:rPr>
              <w:t>MARFOR Requirements Review</w:t>
            </w:r>
          </w:p>
        </w:tc>
        <w:tc>
          <w:tcPr>
            <w:tcW w:w="3192" w:type="dxa"/>
            <w:vAlign w:val="center"/>
          </w:tcPr>
          <w:p w:rsidR="003065B5" w:rsidRPr="003065B5" w:rsidRDefault="003065B5" w:rsidP="003065B5">
            <w:pPr>
              <w:pStyle w:val="Heading"/>
              <w:widowControl/>
              <w:ind w:left="0"/>
              <w:jc w:val="center"/>
              <w:rPr>
                <w:rFonts w:ascii="Arial" w:hAnsi="Arial" w:cs="Arial"/>
                <w:szCs w:val="24"/>
              </w:rPr>
            </w:pPr>
            <w:r w:rsidRPr="003065B5">
              <w:rPr>
                <w:rFonts w:ascii="Arial" w:hAnsi="Arial" w:cs="Arial"/>
                <w:szCs w:val="24"/>
              </w:rPr>
              <w:t>MARFORs</w:t>
            </w:r>
          </w:p>
        </w:tc>
        <w:tc>
          <w:tcPr>
            <w:tcW w:w="3192" w:type="dxa"/>
            <w:vAlign w:val="center"/>
          </w:tcPr>
          <w:p w:rsidR="003065B5" w:rsidRPr="003065B5" w:rsidRDefault="003065B5" w:rsidP="003065B5">
            <w:pPr>
              <w:pStyle w:val="Heading"/>
              <w:widowControl/>
              <w:ind w:left="0"/>
              <w:jc w:val="center"/>
              <w:rPr>
                <w:rFonts w:ascii="Arial" w:hAnsi="Arial" w:cs="Arial"/>
                <w:szCs w:val="24"/>
              </w:rPr>
            </w:pPr>
            <w:r w:rsidRPr="003065B5">
              <w:rPr>
                <w:rFonts w:ascii="Arial" w:hAnsi="Arial" w:cs="Arial"/>
                <w:szCs w:val="24"/>
              </w:rPr>
              <w:t>NLT 31 May</w:t>
            </w:r>
          </w:p>
        </w:tc>
      </w:tr>
      <w:tr w:rsidR="003065B5" w:rsidRPr="003065B5" w:rsidTr="003065B5">
        <w:tc>
          <w:tcPr>
            <w:tcW w:w="3192" w:type="dxa"/>
            <w:vAlign w:val="center"/>
          </w:tcPr>
          <w:p w:rsidR="003065B5" w:rsidRPr="003065B5" w:rsidRDefault="003065B5" w:rsidP="003065B5">
            <w:pPr>
              <w:pStyle w:val="Heading"/>
              <w:widowControl/>
              <w:ind w:left="0"/>
              <w:jc w:val="center"/>
              <w:rPr>
                <w:rFonts w:ascii="Arial" w:hAnsi="Arial" w:cs="Arial"/>
                <w:szCs w:val="24"/>
              </w:rPr>
            </w:pPr>
            <w:r w:rsidRPr="003065B5">
              <w:rPr>
                <w:rFonts w:ascii="Arial" w:hAnsi="Arial" w:cs="Arial"/>
                <w:szCs w:val="24"/>
              </w:rPr>
              <w:t>Prioritization Board</w:t>
            </w:r>
          </w:p>
        </w:tc>
        <w:tc>
          <w:tcPr>
            <w:tcW w:w="3192" w:type="dxa"/>
            <w:vAlign w:val="center"/>
          </w:tcPr>
          <w:p w:rsidR="003065B5" w:rsidRPr="003065B5" w:rsidRDefault="003065B5" w:rsidP="003065B5">
            <w:pPr>
              <w:pStyle w:val="Heading"/>
              <w:widowControl/>
              <w:ind w:left="0"/>
              <w:jc w:val="center"/>
              <w:rPr>
                <w:rFonts w:ascii="Arial" w:hAnsi="Arial" w:cs="Arial"/>
                <w:szCs w:val="24"/>
              </w:rPr>
            </w:pPr>
            <w:r w:rsidRPr="003065B5">
              <w:rPr>
                <w:rFonts w:ascii="Arial" w:hAnsi="Arial" w:cs="Arial"/>
                <w:szCs w:val="24"/>
              </w:rPr>
              <w:t>Hosted by TECOM</w:t>
            </w:r>
          </w:p>
        </w:tc>
        <w:tc>
          <w:tcPr>
            <w:tcW w:w="3192" w:type="dxa"/>
            <w:vAlign w:val="center"/>
          </w:tcPr>
          <w:p w:rsidR="003065B5" w:rsidRPr="003065B5" w:rsidRDefault="003065B5" w:rsidP="003065B5">
            <w:pPr>
              <w:pStyle w:val="Heading"/>
              <w:widowControl/>
              <w:ind w:left="0"/>
              <w:jc w:val="center"/>
              <w:rPr>
                <w:rFonts w:ascii="Arial" w:hAnsi="Arial" w:cs="Arial"/>
                <w:szCs w:val="24"/>
              </w:rPr>
            </w:pPr>
            <w:r w:rsidRPr="003065B5">
              <w:rPr>
                <w:rFonts w:ascii="Arial" w:hAnsi="Arial" w:cs="Arial"/>
                <w:szCs w:val="24"/>
              </w:rPr>
              <w:t>NLT 30 June</w:t>
            </w:r>
          </w:p>
        </w:tc>
      </w:tr>
      <w:tr w:rsidR="003065B5" w:rsidRPr="003065B5" w:rsidTr="003065B5">
        <w:tc>
          <w:tcPr>
            <w:tcW w:w="3192" w:type="dxa"/>
            <w:vAlign w:val="center"/>
          </w:tcPr>
          <w:p w:rsidR="003065B5" w:rsidRPr="003065B5" w:rsidRDefault="003065B5" w:rsidP="003065B5">
            <w:pPr>
              <w:pStyle w:val="Heading"/>
              <w:widowControl/>
              <w:ind w:left="0"/>
              <w:jc w:val="center"/>
              <w:rPr>
                <w:rFonts w:ascii="Arial" w:hAnsi="Arial" w:cs="Arial"/>
                <w:szCs w:val="24"/>
              </w:rPr>
            </w:pPr>
            <w:r w:rsidRPr="003065B5">
              <w:rPr>
                <w:rFonts w:ascii="Arial" w:hAnsi="Arial" w:cs="Arial"/>
                <w:szCs w:val="24"/>
              </w:rPr>
              <w:t>CG, TECOM Approval</w:t>
            </w:r>
          </w:p>
        </w:tc>
        <w:tc>
          <w:tcPr>
            <w:tcW w:w="3192" w:type="dxa"/>
            <w:vAlign w:val="center"/>
          </w:tcPr>
          <w:p w:rsidR="003065B5" w:rsidRPr="003065B5" w:rsidRDefault="003065B5" w:rsidP="003065B5">
            <w:pPr>
              <w:pStyle w:val="Heading"/>
              <w:widowControl/>
              <w:ind w:left="0"/>
              <w:jc w:val="center"/>
              <w:rPr>
                <w:rFonts w:ascii="Arial" w:hAnsi="Arial" w:cs="Arial"/>
                <w:szCs w:val="24"/>
              </w:rPr>
            </w:pPr>
            <w:r w:rsidRPr="003065B5">
              <w:rPr>
                <w:rFonts w:ascii="Arial" w:hAnsi="Arial" w:cs="Arial"/>
                <w:szCs w:val="24"/>
              </w:rPr>
              <w:t>CG, TECOM</w:t>
            </w:r>
          </w:p>
        </w:tc>
        <w:tc>
          <w:tcPr>
            <w:tcW w:w="3192" w:type="dxa"/>
            <w:vAlign w:val="center"/>
          </w:tcPr>
          <w:p w:rsidR="003065B5" w:rsidRPr="003065B5" w:rsidRDefault="003065B5" w:rsidP="003065B5">
            <w:pPr>
              <w:pStyle w:val="Heading"/>
              <w:widowControl/>
              <w:ind w:left="0"/>
              <w:jc w:val="center"/>
              <w:rPr>
                <w:rFonts w:ascii="Arial" w:hAnsi="Arial" w:cs="Arial"/>
                <w:szCs w:val="24"/>
              </w:rPr>
            </w:pPr>
            <w:r w:rsidRPr="003065B5">
              <w:rPr>
                <w:rFonts w:ascii="Arial" w:hAnsi="Arial" w:cs="Arial"/>
                <w:szCs w:val="24"/>
              </w:rPr>
              <w:t>NLT 30 June</w:t>
            </w:r>
          </w:p>
        </w:tc>
      </w:tr>
      <w:tr w:rsidR="003065B5" w:rsidRPr="003065B5" w:rsidTr="003065B5">
        <w:tc>
          <w:tcPr>
            <w:tcW w:w="3192" w:type="dxa"/>
            <w:vAlign w:val="center"/>
          </w:tcPr>
          <w:p w:rsidR="003065B5" w:rsidRPr="003065B5" w:rsidRDefault="003065B5" w:rsidP="003065B5">
            <w:pPr>
              <w:pStyle w:val="Heading"/>
              <w:widowControl/>
              <w:ind w:left="0"/>
              <w:jc w:val="center"/>
              <w:rPr>
                <w:rFonts w:ascii="Arial" w:hAnsi="Arial" w:cs="Arial"/>
                <w:szCs w:val="24"/>
              </w:rPr>
            </w:pPr>
            <w:r w:rsidRPr="003065B5">
              <w:rPr>
                <w:rFonts w:ascii="Arial" w:hAnsi="Arial" w:cs="Arial"/>
                <w:szCs w:val="24"/>
              </w:rPr>
              <w:t>Develop Requests for Proposal (RFP)</w:t>
            </w:r>
          </w:p>
        </w:tc>
        <w:tc>
          <w:tcPr>
            <w:tcW w:w="3192" w:type="dxa"/>
            <w:vAlign w:val="center"/>
          </w:tcPr>
          <w:p w:rsidR="003065B5" w:rsidRPr="003065B5" w:rsidRDefault="003065B5" w:rsidP="003065B5">
            <w:pPr>
              <w:pStyle w:val="Heading"/>
              <w:widowControl/>
              <w:ind w:left="0"/>
              <w:jc w:val="center"/>
              <w:rPr>
                <w:rFonts w:ascii="Arial" w:hAnsi="Arial" w:cs="Arial"/>
                <w:szCs w:val="24"/>
              </w:rPr>
            </w:pPr>
            <w:r w:rsidRPr="003065B5">
              <w:rPr>
                <w:rFonts w:ascii="Arial" w:hAnsi="Arial" w:cs="Arial"/>
                <w:szCs w:val="24"/>
              </w:rPr>
              <w:t>PMTRASYS</w:t>
            </w:r>
          </w:p>
        </w:tc>
        <w:tc>
          <w:tcPr>
            <w:tcW w:w="3192" w:type="dxa"/>
            <w:vAlign w:val="center"/>
          </w:tcPr>
          <w:p w:rsidR="003065B5" w:rsidRPr="003065B5" w:rsidRDefault="003065B5" w:rsidP="003065B5">
            <w:pPr>
              <w:pStyle w:val="Heading"/>
              <w:widowControl/>
              <w:ind w:left="0"/>
              <w:jc w:val="center"/>
              <w:rPr>
                <w:rFonts w:ascii="Arial" w:hAnsi="Arial" w:cs="Arial"/>
                <w:szCs w:val="24"/>
              </w:rPr>
            </w:pPr>
            <w:r w:rsidRPr="003065B5">
              <w:rPr>
                <w:rFonts w:ascii="Arial" w:hAnsi="Arial" w:cs="Arial"/>
                <w:szCs w:val="24"/>
              </w:rPr>
              <w:t xml:space="preserve">1 July – </w:t>
            </w:r>
          </w:p>
          <w:p w:rsidR="003065B5" w:rsidRPr="003065B5" w:rsidRDefault="003065B5" w:rsidP="003065B5">
            <w:pPr>
              <w:pStyle w:val="Heading"/>
              <w:widowControl/>
              <w:ind w:left="0"/>
              <w:jc w:val="center"/>
              <w:rPr>
                <w:rFonts w:ascii="Arial" w:hAnsi="Arial" w:cs="Arial"/>
                <w:szCs w:val="24"/>
              </w:rPr>
            </w:pPr>
            <w:r w:rsidRPr="003065B5">
              <w:rPr>
                <w:rFonts w:ascii="Arial" w:hAnsi="Arial" w:cs="Arial"/>
                <w:szCs w:val="24"/>
              </w:rPr>
              <w:t>30 September</w:t>
            </w:r>
          </w:p>
        </w:tc>
      </w:tr>
      <w:tr w:rsidR="003065B5" w:rsidRPr="003065B5" w:rsidTr="003065B5">
        <w:tc>
          <w:tcPr>
            <w:tcW w:w="3192" w:type="dxa"/>
            <w:vAlign w:val="center"/>
          </w:tcPr>
          <w:p w:rsidR="003065B5" w:rsidRPr="003065B5" w:rsidRDefault="003065B5" w:rsidP="003065B5">
            <w:pPr>
              <w:pStyle w:val="Heading"/>
              <w:widowControl/>
              <w:ind w:left="0"/>
              <w:jc w:val="center"/>
              <w:rPr>
                <w:rFonts w:ascii="Arial" w:hAnsi="Arial" w:cs="Arial"/>
                <w:szCs w:val="24"/>
              </w:rPr>
            </w:pPr>
            <w:r w:rsidRPr="003065B5">
              <w:rPr>
                <w:rFonts w:ascii="Arial" w:hAnsi="Arial" w:cs="Arial"/>
                <w:szCs w:val="24"/>
              </w:rPr>
              <w:t>Complete Acquisition Process</w:t>
            </w:r>
          </w:p>
        </w:tc>
        <w:tc>
          <w:tcPr>
            <w:tcW w:w="3192" w:type="dxa"/>
            <w:vAlign w:val="center"/>
          </w:tcPr>
          <w:p w:rsidR="003065B5" w:rsidRPr="003065B5" w:rsidRDefault="003065B5" w:rsidP="003065B5">
            <w:pPr>
              <w:pStyle w:val="Heading"/>
              <w:widowControl/>
              <w:ind w:left="0"/>
              <w:jc w:val="center"/>
              <w:rPr>
                <w:rFonts w:ascii="Arial" w:hAnsi="Arial" w:cs="Arial"/>
                <w:szCs w:val="24"/>
              </w:rPr>
            </w:pPr>
            <w:r w:rsidRPr="003065B5">
              <w:rPr>
                <w:rFonts w:ascii="Arial" w:hAnsi="Arial" w:cs="Arial"/>
                <w:szCs w:val="24"/>
              </w:rPr>
              <w:t>PMTRASYS</w:t>
            </w:r>
          </w:p>
        </w:tc>
        <w:tc>
          <w:tcPr>
            <w:tcW w:w="3192" w:type="dxa"/>
            <w:vAlign w:val="center"/>
          </w:tcPr>
          <w:p w:rsidR="003065B5" w:rsidRPr="003065B5" w:rsidRDefault="003065B5" w:rsidP="003065B5">
            <w:pPr>
              <w:pStyle w:val="Heading"/>
              <w:widowControl/>
              <w:ind w:left="0"/>
              <w:jc w:val="center"/>
              <w:rPr>
                <w:rFonts w:ascii="Arial" w:hAnsi="Arial" w:cs="Arial"/>
                <w:szCs w:val="24"/>
              </w:rPr>
            </w:pPr>
            <w:r w:rsidRPr="003065B5">
              <w:rPr>
                <w:rFonts w:ascii="Arial" w:hAnsi="Arial" w:cs="Arial"/>
                <w:szCs w:val="24"/>
              </w:rPr>
              <w:t xml:space="preserve">1 Oct - 30 September </w:t>
            </w:r>
          </w:p>
          <w:p w:rsidR="003065B5" w:rsidRPr="003065B5" w:rsidRDefault="003065B5" w:rsidP="003065B5">
            <w:pPr>
              <w:pStyle w:val="Heading"/>
              <w:widowControl/>
              <w:ind w:left="0"/>
              <w:jc w:val="center"/>
              <w:rPr>
                <w:rFonts w:ascii="Arial" w:hAnsi="Arial" w:cs="Arial"/>
                <w:szCs w:val="24"/>
              </w:rPr>
            </w:pPr>
            <w:r w:rsidRPr="003065B5">
              <w:rPr>
                <w:rFonts w:ascii="Arial" w:hAnsi="Arial" w:cs="Arial"/>
                <w:szCs w:val="24"/>
              </w:rPr>
              <w:t>(Target FY)</w:t>
            </w:r>
          </w:p>
        </w:tc>
      </w:tr>
    </w:tbl>
    <w:p w:rsidR="003065B5" w:rsidRPr="003065B5" w:rsidRDefault="003065B5" w:rsidP="003065B5">
      <w:pPr>
        <w:pStyle w:val="Heading"/>
        <w:widowControl/>
        <w:ind w:left="0"/>
        <w:rPr>
          <w:rFonts w:ascii="Arial" w:hAnsi="Arial" w:cs="Arial"/>
          <w:szCs w:val="24"/>
        </w:rPr>
      </w:pPr>
    </w:p>
    <w:p w:rsidR="003065B5" w:rsidRPr="003065B5" w:rsidRDefault="003065B5" w:rsidP="003065B5">
      <w:pPr>
        <w:pStyle w:val="Heading"/>
        <w:widowControl/>
        <w:ind w:left="0"/>
        <w:rPr>
          <w:rFonts w:ascii="Arial" w:hAnsi="Arial" w:cs="Arial"/>
          <w:szCs w:val="24"/>
        </w:rPr>
      </w:pPr>
      <w:r w:rsidRPr="003065B5">
        <w:rPr>
          <w:rFonts w:ascii="Arial" w:hAnsi="Arial" w:cs="Arial"/>
          <w:szCs w:val="24"/>
        </w:rPr>
        <w:t xml:space="preserve">For example, a requirement identified, submitted, validated, and approved by the end of June 2010, will be fielded during FY 11 with GRSP FY 11 O&amp;M, MC funding.  </w:t>
      </w:r>
    </w:p>
    <w:p w:rsidR="003065B5" w:rsidRPr="003065B5" w:rsidRDefault="003065B5">
      <w:pPr>
        <w:rPr>
          <w:rFonts w:ascii="Arial" w:hAnsi="Arial" w:cs="Arial"/>
          <w:b/>
          <w:sz w:val="24"/>
          <w:szCs w:val="24"/>
          <w:u w:val="single"/>
        </w:rPr>
      </w:pPr>
    </w:p>
    <w:sectPr w:rsidR="003065B5" w:rsidRPr="003065B5" w:rsidSect="00852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635F0"/>
    <w:multiLevelType w:val="hybridMultilevel"/>
    <w:tmpl w:val="F87693D4"/>
    <w:lvl w:ilvl="0" w:tplc="417ED8C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41B213E8"/>
    <w:multiLevelType w:val="hybridMultilevel"/>
    <w:tmpl w:val="DF00A37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500108B6"/>
    <w:multiLevelType w:val="hybridMultilevel"/>
    <w:tmpl w:val="57EEAF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7BB10F9D"/>
    <w:multiLevelType w:val="hybridMultilevel"/>
    <w:tmpl w:val="DB3E7468"/>
    <w:lvl w:ilvl="0" w:tplc="701680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6E37AB"/>
    <w:multiLevelType w:val="hybridMultilevel"/>
    <w:tmpl w:val="A9D84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62C"/>
    <w:rsid w:val="00216D32"/>
    <w:rsid w:val="003065B5"/>
    <w:rsid w:val="00414308"/>
    <w:rsid w:val="00704F26"/>
    <w:rsid w:val="007125E4"/>
    <w:rsid w:val="00764844"/>
    <w:rsid w:val="007C77D1"/>
    <w:rsid w:val="008526E6"/>
    <w:rsid w:val="00A556A9"/>
    <w:rsid w:val="00B703AA"/>
    <w:rsid w:val="00C2761A"/>
    <w:rsid w:val="00CB162C"/>
    <w:rsid w:val="00D27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62C"/>
    <w:pPr>
      <w:widowControl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uiPriority w:val="99"/>
    <w:rsid w:val="00CB162C"/>
    <w:pPr>
      <w:ind w:left="7560"/>
    </w:pPr>
    <w:rPr>
      <w:rFonts w:ascii="Courier New" w:hAnsi="Courier New"/>
      <w:sz w:val="24"/>
    </w:rPr>
  </w:style>
  <w:style w:type="paragraph" w:styleId="ListParagraph">
    <w:name w:val="List Paragraph"/>
    <w:basedOn w:val="Normal"/>
    <w:uiPriority w:val="34"/>
    <w:qFormat/>
    <w:rsid w:val="00C276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62C"/>
    <w:pPr>
      <w:widowControl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uiPriority w:val="99"/>
    <w:rsid w:val="00CB162C"/>
    <w:pPr>
      <w:ind w:left="7560"/>
    </w:pPr>
    <w:rPr>
      <w:rFonts w:ascii="Courier New" w:hAnsi="Courier New"/>
      <w:sz w:val="24"/>
    </w:rPr>
  </w:style>
  <w:style w:type="paragraph" w:styleId="ListParagraph">
    <w:name w:val="List Paragraph"/>
    <w:basedOn w:val="Normal"/>
    <w:uiPriority w:val="34"/>
    <w:qFormat/>
    <w:rsid w:val="00C27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Larry.Newberry</dc:creator>
  <cp:lastModifiedBy>De La O CIV Ramon E</cp:lastModifiedBy>
  <cp:revision>1</cp:revision>
  <dcterms:created xsi:type="dcterms:W3CDTF">2013-04-30T21:25:00Z</dcterms:created>
  <dcterms:modified xsi:type="dcterms:W3CDTF">2013-04-30T21:25:00Z</dcterms:modified>
</cp:coreProperties>
</file>